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61" w:firstLineChars="100"/>
        <w:jc w:val="both"/>
        <w:rPr>
          <w:rFonts w:hint="eastAsia" w:ascii="Times New Roman" w:hAnsi="Times New Roman" w:eastAsia="仿宋_GB2312"/>
          <w:b/>
          <w:kern w:val="0"/>
          <w:sz w:val="36"/>
          <w:szCs w:val="36"/>
        </w:rPr>
      </w:pPr>
      <w:r>
        <w:rPr>
          <w:rFonts w:hint="eastAsia" w:ascii="Times New Roman" w:hAnsi="Times New Roman" w:eastAsia="仿宋_GB2312"/>
          <w:b/>
          <w:kern w:val="0"/>
          <w:sz w:val="36"/>
          <w:szCs w:val="36"/>
          <w:lang w:eastAsia="zh-CN"/>
        </w:rPr>
        <w:t>20</w:t>
      </w:r>
      <w:r>
        <w:rPr>
          <w:rFonts w:hint="eastAsia" w:ascii="Times New Roman" w:hAnsi="Times New Roman" w:eastAsia="仿宋_GB2312"/>
          <w:b/>
          <w:kern w:val="0"/>
          <w:sz w:val="36"/>
          <w:szCs w:val="36"/>
          <w:lang w:val="en-US" w:eastAsia="zh-CN"/>
        </w:rPr>
        <w:t>20-2021</w:t>
      </w:r>
      <w:r>
        <w:rPr>
          <w:rFonts w:hint="eastAsia" w:ascii="Times New Roman" w:hAnsi="Times New Roman" w:eastAsia="仿宋_GB2312"/>
          <w:b/>
          <w:kern w:val="0"/>
          <w:sz w:val="36"/>
          <w:szCs w:val="36"/>
        </w:rPr>
        <w:t>年度</w:t>
      </w:r>
      <w:r>
        <w:rPr>
          <w:rFonts w:hint="eastAsia" w:ascii="Times New Roman" w:hAnsi="Times New Roman" w:eastAsia="仿宋_GB2312"/>
          <w:b/>
          <w:kern w:val="0"/>
          <w:sz w:val="36"/>
          <w:szCs w:val="36"/>
          <w:lang w:val="en-US" w:eastAsia="zh-CN"/>
        </w:rPr>
        <w:t>医药冷链领域系列奖项评选活动</w:t>
      </w:r>
    </w:p>
    <w:p>
      <w:pPr>
        <w:spacing w:line="360" w:lineRule="auto"/>
        <w:ind w:firstLine="723" w:firstLineChars="200"/>
        <w:jc w:val="center"/>
        <w:rPr>
          <w:rFonts w:hint="eastAsia" w:ascii="Times New Roman" w:hAnsi="Times New Roman" w:eastAsia="仿宋_GB2312"/>
          <w:b/>
          <w:kern w:val="0"/>
          <w:sz w:val="36"/>
          <w:szCs w:val="36"/>
        </w:rPr>
      </w:pPr>
      <w:r>
        <w:rPr>
          <w:rFonts w:hint="eastAsia" w:ascii="Times New Roman" w:hAnsi="Times New Roman" w:eastAsia="仿宋_GB2312"/>
          <w:b/>
          <w:kern w:val="0"/>
          <w:sz w:val="36"/>
          <w:szCs w:val="36"/>
        </w:rPr>
        <w:t>参评企业申报表</w:t>
      </w:r>
    </w:p>
    <w:p>
      <w:pPr>
        <w:spacing w:line="360" w:lineRule="auto"/>
        <w:rPr>
          <w:rFonts w:hint="eastAsia" w:ascii="Times New Roman" w:hAnsi="Times New Roman" w:eastAsia="仿宋_GB2312"/>
          <w:b/>
          <w:kern w:val="0"/>
          <w:sz w:val="36"/>
          <w:szCs w:val="36"/>
        </w:rPr>
      </w:pPr>
    </w:p>
    <w:p>
      <w:pPr>
        <w:spacing w:line="360" w:lineRule="auto"/>
        <w:rPr>
          <w:rFonts w:hint="eastAsia" w:ascii="Times New Roman" w:hAnsi="Times New Roman" w:eastAsia="仿宋_GB2312"/>
          <w:b/>
          <w:kern w:val="0"/>
          <w:sz w:val="36"/>
          <w:szCs w:val="36"/>
        </w:rPr>
      </w:pPr>
    </w:p>
    <w:p>
      <w:pPr>
        <w:spacing w:line="520" w:lineRule="atLeast"/>
        <w:rPr>
          <w:rFonts w:hint="eastAsia" w:ascii="楷体_GB2312" w:hAnsi="宋体" w:eastAsia="楷体_GB2312"/>
          <w:b/>
          <w:bCs/>
        </w:rPr>
      </w:pPr>
    </w:p>
    <w:p>
      <w:pPr>
        <w:spacing w:line="520" w:lineRule="atLeast"/>
        <w:rPr>
          <w:rFonts w:hint="eastAsia" w:ascii="楷体_GB2312" w:hAnsi="宋体" w:eastAsia="楷体_GB2312"/>
          <w:b/>
          <w:bCs/>
        </w:rPr>
      </w:pPr>
    </w:p>
    <w:p>
      <w:pPr>
        <w:spacing w:line="520" w:lineRule="atLeast"/>
        <w:rPr>
          <w:rFonts w:hint="eastAsia" w:ascii="楷体_GB2312" w:hAnsi="宋体" w:eastAsia="楷体_GB2312"/>
          <w:b/>
          <w:bCs/>
        </w:rPr>
      </w:pPr>
    </w:p>
    <w:p>
      <w:pPr>
        <w:spacing w:line="520" w:lineRule="atLeast"/>
        <w:rPr>
          <w:rFonts w:hint="eastAsia" w:ascii="楷体_GB2312" w:eastAsia="楷体_GB2312"/>
          <w:b/>
          <w:bCs/>
        </w:rPr>
      </w:pPr>
    </w:p>
    <w:p>
      <w:pPr>
        <w:spacing w:line="700" w:lineRule="exact"/>
        <w:ind w:firstLine="1440" w:firstLineChars="450"/>
        <w:rPr>
          <w:rFonts w:hint="eastAsia" w:ascii="楷体_GB2312" w:eastAsia="楷体_GB2312"/>
          <w:sz w:val="32"/>
        </w:rPr>
      </w:pPr>
    </w:p>
    <w:p>
      <w:pPr>
        <w:spacing w:line="700" w:lineRule="exact"/>
        <w:rPr>
          <w:rFonts w:hint="eastAsia" w:ascii="楷体_GB2312" w:eastAsia="楷体_GB2312"/>
          <w:b/>
          <w:bCs/>
          <w:sz w:val="32"/>
        </w:rPr>
      </w:pPr>
      <w:r>
        <w:rPr>
          <w:rFonts w:hint="eastAsia" w:ascii="楷体_GB2312" w:eastAsia="楷体_GB2312"/>
          <w:sz w:val="32"/>
        </w:rPr>
        <w:t xml:space="preserve">   </w:t>
      </w:r>
      <w:r>
        <w:rPr>
          <w:rFonts w:hint="eastAsia" w:ascii="楷体_GB2312" w:eastAsia="楷体_GB2312"/>
          <w:b/>
          <w:bCs/>
          <w:sz w:val="32"/>
        </w:rPr>
        <w:t xml:space="preserve"> 企业名称</w:t>
      </w:r>
      <w:r>
        <w:rPr>
          <w:rFonts w:hint="eastAsia" w:ascii="楷体_GB2312" w:eastAsia="楷体_GB2312"/>
          <w:b/>
          <w:bCs/>
          <w:sz w:val="32"/>
          <w:u w:val="single"/>
        </w:rPr>
        <w:t xml:space="preserve">                           </w:t>
      </w:r>
      <w:r>
        <w:rPr>
          <w:rFonts w:hint="eastAsia" w:ascii="楷体_GB2312" w:eastAsia="楷体_GB2312"/>
          <w:b/>
          <w:bCs/>
          <w:sz w:val="32"/>
        </w:rPr>
        <w:t>（公章）</w:t>
      </w:r>
    </w:p>
    <w:p>
      <w:pPr>
        <w:spacing w:line="700" w:lineRule="exact"/>
        <w:jc w:val="center"/>
        <w:rPr>
          <w:rFonts w:hint="eastAsia" w:ascii="楷体_GB2312" w:eastAsia="楷体_GB2312"/>
          <w:b/>
          <w:bCs/>
          <w:sz w:val="36"/>
        </w:rPr>
      </w:pPr>
    </w:p>
    <w:p>
      <w:pPr>
        <w:spacing w:line="700" w:lineRule="exact"/>
        <w:jc w:val="left"/>
        <w:rPr>
          <w:rFonts w:hint="eastAsia" w:ascii="楷体_GB2312" w:eastAsia="楷体_GB2312"/>
          <w:b/>
          <w:bCs/>
          <w:sz w:val="32"/>
          <w:szCs w:val="32"/>
          <w:u w:val="single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 xml:space="preserve">    企业法定代表人</w:t>
      </w:r>
      <w:r>
        <w:rPr>
          <w:rFonts w:hint="eastAsia" w:ascii="楷体_GB2312" w:eastAsia="楷体_GB2312"/>
          <w:b/>
          <w:bCs/>
          <w:sz w:val="32"/>
          <w:szCs w:val="32"/>
          <w:u w:val="single"/>
        </w:rPr>
        <w:t xml:space="preserve">                    </w:t>
      </w:r>
    </w:p>
    <w:p>
      <w:pPr>
        <w:spacing w:line="700" w:lineRule="exact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 xml:space="preserve">    </w:t>
      </w:r>
    </w:p>
    <w:p>
      <w:pPr>
        <w:spacing w:line="700" w:lineRule="exact"/>
        <w:rPr>
          <w:rFonts w:hint="eastAsia" w:ascii="楷体_GB2312" w:eastAsia="楷体_GB2312"/>
          <w:b/>
          <w:bCs/>
          <w:sz w:val="32"/>
          <w:szCs w:val="32"/>
          <w:u w:val="single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 xml:space="preserve">    企业填表时间</w:t>
      </w:r>
      <w:r>
        <w:rPr>
          <w:rFonts w:hint="eastAsia" w:ascii="楷体_GB2312" w:eastAsia="楷体_GB2312"/>
          <w:b/>
          <w:bCs/>
          <w:sz w:val="32"/>
          <w:u w:val="single"/>
        </w:rPr>
        <w:t xml:space="preserve">       </w:t>
      </w:r>
      <w:r>
        <w:rPr>
          <w:rFonts w:hint="eastAsia" w:ascii="楷体_GB2312" w:eastAsia="楷体_GB2312"/>
          <w:b/>
          <w:bCs/>
          <w:sz w:val="32"/>
        </w:rPr>
        <w:t>年</w:t>
      </w:r>
      <w:r>
        <w:rPr>
          <w:rFonts w:hint="eastAsia" w:ascii="楷体_GB2312" w:eastAsia="楷体_GB2312"/>
          <w:b/>
          <w:bCs/>
          <w:sz w:val="32"/>
          <w:u w:val="single"/>
        </w:rPr>
        <w:t xml:space="preserve">    </w:t>
      </w:r>
      <w:r>
        <w:rPr>
          <w:rFonts w:hint="eastAsia" w:ascii="楷体_GB2312" w:eastAsia="楷体_GB2312"/>
          <w:b/>
          <w:bCs/>
          <w:sz w:val="32"/>
        </w:rPr>
        <w:t>月</w:t>
      </w:r>
      <w:r>
        <w:rPr>
          <w:rFonts w:hint="eastAsia" w:ascii="楷体_GB2312" w:eastAsia="楷体_GB2312"/>
          <w:b/>
          <w:bCs/>
          <w:sz w:val="32"/>
          <w:u w:val="single"/>
        </w:rPr>
        <w:t xml:space="preserve">    </w:t>
      </w:r>
      <w:r>
        <w:rPr>
          <w:rFonts w:hint="eastAsia" w:ascii="楷体_GB2312" w:eastAsia="楷体_GB2312"/>
          <w:b/>
          <w:bCs/>
          <w:sz w:val="32"/>
        </w:rPr>
        <w:t>日</w:t>
      </w:r>
    </w:p>
    <w:p>
      <w:pPr>
        <w:spacing w:line="700" w:lineRule="exact"/>
        <w:rPr>
          <w:rFonts w:hint="eastAsia" w:ascii="楷体_GB2312" w:eastAsia="楷体_GB2312"/>
          <w:b/>
          <w:bCs/>
          <w:sz w:val="36"/>
        </w:rPr>
      </w:pPr>
    </w:p>
    <w:p>
      <w:pPr>
        <w:spacing w:line="360" w:lineRule="auto"/>
        <w:ind w:firstLine="643" w:firstLineChars="200"/>
        <w:jc w:val="center"/>
        <w:rPr>
          <w:rFonts w:hint="eastAsia" w:ascii="Times New Roman" w:hAnsi="Times New Roman" w:eastAsia="仿宋_GB2312"/>
          <w:b/>
          <w:kern w:val="0"/>
          <w:sz w:val="32"/>
          <w:szCs w:val="32"/>
        </w:rPr>
      </w:pPr>
    </w:p>
    <w:p>
      <w:pPr>
        <w:spacing w:line="360" w:lineRule="auto"/>
        <w:ind w:firstLine="643" w:firstLineChars="200"/>
        <w:jc w:val="center"/>
        <w:rPr>
          <w:rFonts w:hint="eastAsia" w:ascii="Times New Roman" w:hAnsi="Times New Roman" w:eastAsia="仿宋_GB2312"/>
          <w:b/>
          <w:kern w:val="0"/>
          <w:sz w:val="32"/>
          <w:szCs w:val="32"/>
        </w:rPr>
      </w:pPr>
    </w:p>
    <w:p>
      <w:pPr>
        <w:spacing w:line="360" w:lineRule="auto"/>
        <w:ind w:firstLine="643" w:firstLineChars="200"/>
        <w:jc w:val="center"/>
        <w:rPr>
          <w:rFonts w:hint="eastAsia" w:ascii="Times New Roman" w:hAnsi="Times New Roman" w:eastAsia="仿宋_GB2312"/>
          <w:b/>
          <w:kern w:val="0"/>
          <w:sz w:val="32"/>
          <w:szCs w:val="32"/>
        </w:rPr>
      </w:pPr>
    </w:p>
    <w:p>
      <w:pPr>
        <w:spacing w:line="360" w:lineRule="auto"/>
        <w:jc w:val="both"/>
        <w:rPr>
          <w:rFonts w:hint="eastAsia" w:ascii="Times New Roman" w:hAnsi="Times New Roman" w:eastAsia="仿宋_GB2312"/>
          <w:b/>
          <w:kern w:val="0"/>
          <w:sz w:val="32"/>
          <w:szCs w:val="32"/>
        </w:rPr>
      </w:pPr>
    </w:p>
    <w:tbl>
      <w:tblPr>
        <w:tblStyle w:val="4"/>
        <w:tblpPr w:leftFromText="180" w:rightFromText="180" w:horzAnchor="margin" w:tblpXSpec="center" w:tblpY="570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05"/>
        <w:gridCol w:w="840"/>
        <w:gridCol w:w="645"/>
        <w:gridCol w:w="270"/>
        <w:gridCol w:w="1110"/>
        <w:gridCol w:w="80"/>
        <w:gridCol w:w="1480"/>
        <w:gridCol w:w="1020"/>
        <w:gridCol w:w="1161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4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企业性质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eastAsia="zh-CN"/>
              </w:rPr>
              <w:t>及情况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国有企业</w:t>
            </w:r>
            <w:r>
              <w:rPr>
                <w:rFonts w:ascii="Times New Roman" w:hAnsi="Times New Roman" w:eastAsia="仿宋_GB2312"/>
                <w:sz w:val="44"/>
                <w:szCs w:val="44"/>
              </w:rPr>
              <w:t>□</w:t>
            </w:r>
          </w:p>
        </w:tc>
        <w:tc>
          <w:tcPr>
            <w:tcW w:w="14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民营企业</w:t>
            </w:r>
            <w:r>
              <w:rPr>
                <w:rFonts w:ascii="Times New Roman" w:hAnsi="Times New Roman" w:eastAsia="仿宋_GB2312"/>
                <w:sz w:val="44"/>
                <w:szCs w:val="44"/>
              </w:rPr>
              <w:t>□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股份制</w:t>
            </w:r>
            <w:r>
              <w:rPr>
                <w:rFonts w:ascii="Times New Roman" w:hAnsi="Times New Roman" w:eastAsia="仿宋_GB2312"/>
                <w:sz w:val="44"/>
                <w:szCs w:val="44"/>
              </w:rPr>
              <w:t>□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外企</w:t>
            </w:r>
            <w:r>
              <w:rPr>
                <w:rFonts w:ascii="Times New Roman" w:hAnsi="Times New Roman" w:eastAsia="仿宋_GB2312"/>
                <w:sz w:val="44"/>
                <w:szCs w:val="44"/>
              </w:rPr>
              <w:t>□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合资</w:t>
            </w:r>
            <w:r>
              <w:rPr>
                <w:rFonts w:ascii="Times New Roman" w:hAnsi="Times New Roman" w:eastAsia="仿宋_GB2312"/>
                <w:sz w:val="44"/>
                <w:szCs w:val="44"/>
              </w:rPr>
              <w:t>□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上市公司</w:t>
            </w:r>
            <w:r>
              <w:rPr>
                <w:rFonts w:ascii="Times New Roman" w:hAnsi="Times New Roman" w:eastAsia="仿宋_GB2312"/>
                <w:sz w:val="44"/>
                <w:szCs w:val="44"/>
              </w:rPr>
              <w:t>□</w:t>
            </w:r>
          </w:p>
          <w:p>
            <w:pP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eastAsia="zh-CN"/>
              </w:rPr>
              <w:t>股票代码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425" w:type="dxa"/>
            <w:gridSpan w:val="6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邮编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9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1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15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18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67" w:type="dxa"/>
            <w:gridSpan w:val="11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企业主导产品（或主营业务）：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867" w:type="dxa"/>
            <w:gridSpan w:val="11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企业基本情况</w:t>
            </w:r>
          </w:p>
          <w:p>
            <w:pPr>
              <w:pStyle w:val="6"/>
              <w:jc w:val="center"/>
              <w:rPr>
                <w:rFonts w:hint="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</w:rPr>
              <w:t>职工人数</w:t>
            </w:r>
          </w:p>
        </w:tc>
        <w:tc>
          <w:tcPr>
            <w:tcW w:w="8481" w:type="dxa"/>
            <w:gridSpan w:val="10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</w:rPr>
              <w:t>共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</w:rPr>
              <w:t>人。其中：专业技术人员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</w:rPr>
              <w:t>人； 高级职称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  <w:u w:val="none"/>
                <w:lang w:eastAsia="zh-CN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  <w:jc w:val="center"/>
        </w:trPr>
        <w:tc>
          <w:tcPr>
            <w:tcW w:w="13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eastAsia="zh-CN"/>
              </w:rPr>
              <w:t>企业介绍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val="en-US" w:eastAsia="zh-CN"/>
              </w:rPr>
              <w:t>（300-500字）可另附材料</w:t>
            </w:r>
          </w:p>
        </w:tc>
        <w:tc>
          <w:tcPr>
            <w:tcW w:w="8481" w:type="dxa"/>
            <w:gridSpan w:val="10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13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荣誉奖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励情况</w:t>
            </w:r>
          </w:p>
        </w:tc>
        <w:tc>
          <w:tcPr>
            <w:tcW w:w="8481" w:type="dxa"/>
            <w:gridSpan w:val="10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（申报企业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val="en-US" w:eastAsia="zh-CN"/>
              </w:rPr>
              <w:t>/个人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近三年获得省级以上荣誉奖励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eastAsia="zh-CN"/>
              </w:rPr>
              <w:t>和科技支持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情况）</w:t>
            </w:r>
          </w:p>
          <w:p>
            <w:pPr>
              <w:spacing w:line="360" w:lineRule="auto"/>
              <w:rPr>
                <w:rFonts w:hint="eastAsia" w:ascii="Times New Roman" w:hAnsi="Times New Roman" w:eastAsia="仿宋_GB2312"/>
                <w:b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仿宋_GB2312"/>
                <w:b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仿宋_GB2312"/>
                <w:b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13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val="en-US" w:eastAsia="zh-CN"/>
              </w:rPr>
              <w:t>参评团队及人物主要事迹（限300字左右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8481" w:type="dxa"/>
            <w:gridSpan w:val="10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b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仿宋_GB2312"/>
                <w:b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申报奖项（</w:t>
            </w:r>
            <w:r>
              <w:rPr>
                <w:rFonts w:ascii="Arial" w:hAnsi="Arial" w:eastAsia="仿宋_GB2312" w:cs="Arial"/>
                <w:b/>
                <w:kern w:val="0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8481" w:type="dxa"/>
            <w:gridSpan w:val="10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eastAsia="zh-CN"/>
              </w:rPr>
              <w:t>-202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eastAsia="zh-CN"/>
              </w:rPr>
              <w:t>年度医药冷链物流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eastAsia="zh-CN"/>
              </w:rPr>
              <w:t>最美质量人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eastAsia="zh-CN"/>
              </w:rPr>
              <w:t>2020-2021年度医药冷链物流精英人物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eastAsia="zh-CN"/>
              </w:rPr>
              <w:t>2020-2021年度最帅冷链药品运输司机评选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eastAsia="zh-CN"/>
              </w:rPr>
              <w:t>2020-2021年度医药冷链物流服务推荐企业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eastAsia="zh-CN"/>
              </w:rPr>
              <w:t>2020-2021年度医药冷链物流装备推荐品牌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微软雅黑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eastAsia="zh-CN"/>
              </w:rPr>
              <w:t>2020-2021年度医药冷链最佳物流中心（基地）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13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备   注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jc w:val="both"/>
              <w:rPr>
                <w:rFonts w:hint="eastAsia" w:ascii="Times New Roman" w:hAnsi="Times New Roman" w:eastAsia="仿宋_GB2312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8481" w:type="dxa"/>
            <w:gridSpan w:val="10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  <w:t>1.申报的文字材料统一采用A4纸、宋体小四号字、单倍行距打印；复印资料统一采用A4纸复印。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  <w:t>2.申报材料电子版请一并发至评选活动办公室邮箱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  <w:instrText xml:space="preserve">HYPERLINK "mailto:cmp20102@126.com" </w:instrTex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  <w:t>cmsu01@163.com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  <w:t>3.申报材料原件请快递至：北京市丰台区富丰路2号星火科技大厦602室</w:t>
            </w:r>
          </w:p>
          <w:p>
            <w:pPr>
              <w:pStyle w:val="6"/>
              <w:spacing w:line="480" w:lineRule="exact"/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  <w:t>4.收件人：赵竹     电话：010-83678226</w:t>
            </w:r>
          </w:p>
          <w:p>
            <w:pPr>
              <w:pStyle w:val="6"/>
              <w:spacing w:line="480" w:lineRule="exact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  <w:t>5.填表联系人：杨斌  电话：18500294029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E6224"/>
    <w:rsid w:val="02AE6224"/>
    <w:rsid w:val="1AFC0684"/>
    <w:rsid w:val="4A9910C2"/>
    <w:rsid w:val="7370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2020-04-20T02:50:00Z</dcterms:created>
  <dc:creator>李国伟供应链中国网</dc:creator>
  <cp:lastModifiedBy>李国伟供应链中国网</cp:lastModifiedBy>
  <dcterms:modified xsi:type="dcterms:W3CDTF">2020-12-28T03:56:38Z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